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65B24" w14:textId="77777777" w:rsidR="00BA6965" w:rsidRPr="00BA6965" w:rsidRDefault="00BA6965" w:rsidP="00BA6965">
      <w:pPr>
        <w:rPr>
          <w:b/>
          <w:bCs/>
        </w:rPr>
      </w:pPr>
      <w:r w:rsidRPr="00BA6965">
        <w:rPr>
          <w:b/>
          <w:bCs/>
        </w:rPr>
        <w:t>Key Objectives of the Exposure Draft</w:t>
      </w:r>
    </w:p>
    <w:p w14:paraId="13832D1A" w14:textId="77777777" w:rsidR="00BA6965" w:rsidRPr="00BA6965" w:rsidRDefault="00BA6965" w:rsidP="00BA6965">
      <w:r w:rsidRPr="00BA6965">
        <w:t>The proposed amendments aim to:</w:t>
      </w:r>
    </w:p>
    <w:p w14:paraId="2A65FAB0" w14:textId="77777777" w:rsidR="00BA6965" w:rsidRPr="00BA6965" w:rsidRDefault="00BA6965" w:rsidP="00BA6965">
      <w:pPr>
        <w:numPr>
          <w:ilvl w:val="0"/>
          <w:numId w:val="1"/>
        </w:numPr>
      </w:pPr>
      <w:r w:rsidRPr="00BA6965">
        <w:t>Improve the faithful representation of dynamic interest rate risk management.</w:t>
      </w:r>
    </w:p>
    <w:p w14:paraId="254F0D47" w14:textId="77777777" w:rsidR="00BA6965" w:rsidRPr="00BA6965" w:rsidRDefault="00BA6965" w:rsidP="00BA6965">
      <w:pPr>
        <w:numPr>
          <w:ilvl w:val="0"/>
          <w:numId w:val="1"/>
        </w:numPr>
      </w:pPr>
      <w:r w:rsidRPr="00BA6965">
        <w:t>Reduce accounting mismatches arising from open portfolio management.</w:t>
      </w:r>
    </w:p>
    <w:p w14:paraId="64BD2060" w14:textId="77777777" w:rsidR="00BA6965" w:rsidRPr="00BA6965" w:rsidRDefault="00BA6965" w:rsidP="00BA6965">
      <w:pPr>
        <w:numPr>
          <w:ilvl w:val="0"/>
          <w:numId w:val="1"/>
        </w:numPr>
      </w:pPr>
      <w:r w:rsidRPr="00BA6965">
        <w:t>Align accounting with actual risk management practices.</w:t>
      </w:r>
    </w:p>
    <w:p w14:paraId="468FFCEF" w14:textId="77777777" w:rsidR="00BA6965" w:rsidRPr="00BA6965" w:rsidRDefault="00BA6965" w:rsidP="00BA6965">
      <w:pPr>
        <w:numPr>
          <w:ilvl w:val="0"/>
          <w:numId w:val="1"/>
        </w:numPr>
      </w:pPr>
      <w:r w:rsidRPr="00BA6965">
        <w:t>Enhance comparability and transparency through additional disclosure requirements.</w:t>
      </w:r>
    </w:p>
    <w:p w14:paraId="1CE7328B" w14:textId="77777777" w:rsidR="00BA6965" w:rsidRPr="00BA6965" w:rsidRDefault="00BA6965" w:rsidP="00BA6965">
      <w:pPr>
        <w:numPr>
          <w:ilvl w:val="0"/>
          <w:numId w:val="1"/>
        </w:numPr>
      </w:pPr>
      <w:r w:rsidRPr="00BA6965">
        <w:t>Introduce a voluntary accounting model for eligible entities.</w:t>
      </w:r>
    </w:p>
    <w:p w14:paraId="6C8AD08A" w14:textId="77777777" w:rsidR="00BA6965" w:rsidRPr="00BA6965" w:rsidRDefault="00BA6965" w:rsidP="00BA6965">
      <w:r w:rsidRPr="00BA6965">
        <w:pict w14:anchorId="7A79146E">
          <v:rect id="_x0000_i1115" style="width:0;height:1.5pt" o:hralign="center" o:hrstd="t" o:hr="t" fillcolor="#a0a0a0" stroked="f"/>
        </w:pict>
      </w:r>
    </w:p>
    <w:p w14:paraId="246F3A5E" w14:textId="77777777" w:rsidR="00BA6965" w:rsidRPr="00BA6965" w:rsidRDefault="00BA6965" w:rsidP="00BA6965">
      <w:pPr>
        <w:rPr>
          <w:b/>
          <w:bCs/>
        </w:rPr>
      </w:pPr>
      <w:r w:rsidRPr="00BA6965">
        <w:rPr>
          <w:b/>
          <w:bCs/>
        </w:rPr>
        <w:t>Major Proposals</w:t>
      </w:r>
    </w:p>
    <w:p w14:paraId="5A1EE1EB" w14:textId="77777777" w:rsidR="00BA6965" w:rsidRPr="00BA6965" w:rsidRDefault="00BA6965" w:rsidP="00BA6965">
      <w:pPr>
        <w:rPr>
          <w:b/>
          <w:bCs/>
        </w:rPr>
      </w:pPr>
      <w:r w:rsidRPr="00BA6965">
        <w:rPr>
          <w:b/>
          <w:bCs/>
        </w:rPr>
        <w:t>1. Introduction of Risk Mitigation Accounting</w:t>
      </w:r>
    </w:p>
    <w:p w14:paraId="6DCDCFEE" w14:textId="77777777" w:rsidR="00BA6965" w:rsidRPr="00BA6965" w:rsidRDefault="00BA6965" w:rsidP="00BA6965">
      <w:r w:rsidRPr="00BA6965">
        <w:t>A new accounting model is proposed for entities managing repricing risk on a net portfolio basis.</w:t>
      </w:r>
    </w:p>
    <w:p w14:paraId="0BAEDC51" w14:textId="77777777" w:rsidR="00BA6965" w:rsidRPr="00BA6965" w:rsidRDefault="00BA6965" w:rsidP="00BA6965">
      <w:r w:rsidRPr="00BA6965">
        <w:t>Comments:</w:t>
      </w:r>
    </w:p>
    <w:p w14:paraId="4E46D6D5" w14:textId="77777777" w:rsidR="00BA6965" w:rsidRPr="00BA6965" w:rsidRDefault="00BA6965" w:rsidP="00BA6965">
      <w:pPr>
        <w:numPr>
          <w:ilvl w:val="0"/>
          <w:numId w:val="2"/>
        </w:numPr>
      </w:pPr>
      <w:r w:rsidRPr="00BA6965">
        <w:t>Proposal is conceptually sound.</w:t>
      </w:r>
    </w:p>
    <w:p w14:paraId="0EAC8731" w14:textId="77777777" w:rsidR="00BA6965" w:rsidRPr="00BA6965" w:rsidRDefault="00BA6965" w:rsidP="00BA6965">
      <w:pPr>
        <w:numPr>
          <w:ilvl w:val="0"/>
          <w:numId w:val="2"/>
        </w:numPr>
      </w:pPr>
      <w:r w:rsidRPr="00BA6965">
        <w:t>Better reflects economic substance.</w:t>
      </w:r>
    </w:p>
    <w:p w14:paraId="0BCB262A" w14:textId="77777777" w:rsidR="00BA6965" w:rsidRPr="00BA6965" w:rsidRDefault="00BA6965" w:rsidP="00BA6965">
      <w:pPr>
        <w:numPr>
          <w:ilvl w:val="0"/>
          <w:numId w:val="2"/>
        </w:numPr>
      </w:pPr>
      <w:r w:rsidRPr="00BA6965">
        <w:t>Particularly beneficial for banks and financial institutions.</w:t>
      </w:r>
    </w:p>
    <w:p w14:paraId="0B83D80D" w14:textId="77777777" w:rsidR="00BA6965" w:rsidRPr="00BA6965" w:rsidRDefault="00BA6965" w:rsidP="00BA6965">
      <w:r w:rsidRPr="00BA6965">
        <w:t>Suggestion:</w:t>
      </w:r>
      <w:r w:rsidRPr="00BA6965">
        <w:br/>
        <w:t>Provide additional implementation guidance with industry-specific illustrations.</w:t>
      </w:r>
    </w:p>
    <w:p w14:paraId="5C042670" w14:textId="77777777" w:rsidR="00BA6965" w:rsidRPr="00BA6965" w:rsidRDefault="00BA6965" w:rsidP="00BA6965">
      <w:r w:rsidRPr="00BA6965">
        <w:pict w14:anchorId="1211BD2C">
          <v:rect id="_x0000_i1116" style="width:0;height:1.5pt" o:hralign="center" o:hrstd="t" o:hr="t" fillcolor="#a0a0a0" stroked="f"/>
        </w:pict>
      </w:r>
    </w:p>
    <w:p w14:paraId="26438DFA" w14:textId="77777777" w:rsidR="00BA6965" w:rsidRPr="00BA6965" w:rsidRDefault="00BA6965" w:rsidP="00BA6965">
      <w:pPr>
        <w:rPr>
          <w:b/>
          <w:bCs/>
        </w:rPr>
      </w:pPr>
      <w:r w:rsidRPr="00BA6965">
        <w:rPr>
          <w:b/>
          <w:bCs/>
        </w:rPr>
        <w:t>2. Voluntary Application</w:t>
      </w:r>
    </w:p>
    <w:p w14:paraId="08AA69E5" w14:textId="77777777" w:rsidR="00BA6965" w:rsidRPr="00BA6965" w:rsidRDefault="00BA6965" w:rsidP="00BA6965">
      <w:r w:rsidRPr="00BA6965">
        <w:t>Application of Risk Mitigation Accounting is optional, provided specified eligibility criteria are satisfied.</w:t>
      </w:r>
    </w:p>
    <w:p w14:paraId="0CAD20E7" w14:textId="77777777" w:rsidR="00BA6965" w:rsidRPr="00BA6965" w:rsidRDefault="00BA6965" w:rsidP="00BA6965">
      <w:r w:rsidRPr="00BA6965">
        <w:t>Comments:</w:t>
      </w:r>
    </w:p>
    <w:p w14:paraId="68D405EC" w14:textId="77777777" w:rsidR="00BA6965" w:rsidRPr="00BA6965" w:rsidRDefault="00BA6965" w:rsidP="00BA6965">
      <w:pPr>
        <w:numPr>
          <w:ilvl w:val="0"/>
          <w:numId w:val="3"/>
        </w:numPr>
      </w:pPr>
      <w:r w:rsidRPr="00BA6965">
        <w:t>Voluntary adoption is appropriate.</w:t>
      </w:r>
    </w:p>
    <w:p w14:paraId="28F41DEE" w14:textId="77777777" w:rsidR="00BA6965" w:rsidRPr="00BA6965" w:rsidRDefault="00BA6965" w:rsidP="00BA6965">
      <w:pPr>
        <w:numPr>
          <w:ilvl w:val="0"/>
          <w:numId w:val="3"/>
        </w:numPr>
      </w:pPr>
      <w:r w:rsidRPr="00BA6965">
        <w:t>Existing documentation requirements may be onerous.</w:t>
      </w:r>
    </w:p>
    <w:p w14:paraId="382CFC38" w14:textId="77777777" w:rsidR="00BA6965" w:rsidRPr="00BA6965" w:rsidRDefault="00BA6965" w:rsidP="00BA6965">
      <w:r w:rsidRPr="00BA6965">
        <w:t>Suggestion:</w:t>
      </w:r>
      <w:r w:rsidRPr="00BA6965">
        <w:br/>
        <w:t>Permit reliance on existing Asset Liability Management (ALM) documentation wherever appropriate.</w:t>
      </w:r>
    </w:p>
    <w:p w14:paraId="30D4B222" w14:textId="77777777" w:rsidR="00BA6965" w:rsidRPr="00BA6965" w:rsidRDefault="00BA6965" w:rsidP="00BA6965"/>
    <w:p w14:paraId="6AC28842" w14:textId="77777777" w:rsidR="00BA6965" w:rsidRPr="00BA6965" w:rsidRDefault="00BA6965" w:rsidP="00BA6965">
      <w:r w:rsidRPr="00BA6965">
        <w:lastRenderedPageBreak/>
        <w:pict w14:anchorId="4D92F91B">
          <v:rect id="_x0000_i1117" style="width:0;height:1.5pt" o:hralign="center" o:hrstd="t" o:hr="t" fillcolor="#a0a0a0" stroked="f"/>
        </w:pict>
      </w:r>
    </w:p>
    <w:p w14:paraId="43F237E0" w14:textId="77777777" w:rsidR="00BA6965" w:rsidRPr="00BA6965" w:rsidRDefault="00BA6965" w:rsidP="00BA6965">
      <w:pPr>
        <w:rPr>
          <w:b/>
          <w:bCs/>
        </w:rPr>
      </w:pPr>
      <w:r w:rsidRPr="00BA6965">
        <w:rPr>
          <w:b/>
          <w:bCs/>
        </w:rPr>
        <w:t>3. Underlying Portfolios</w:t>
      </w:r>
    </w:p>
    <w:p w14:paraId="3E56556E" w14:textId="77777777" w:rsidR="00BA6965" w:rsidRPr="00BA6965" w:rsidRDefault="00BA6965" w:rsidP="00BA6965">
      <w:r w:rsidRPr="00BA6965">
        <w:t>Eligible portfolios include:</w:t>
      </w:r>
    </w:p>
    <w:p w14:paraId="11183AA0" w14:textId="77777777" w:rsidR="00BA6965" w:rsidRPr="00BA6965" w:rsidRDefault="00BA6965" w:rsidP="00BA6965">
      <w:pPr>
        <w:numPr>
          <w:ilvl w:val="0"/>
          <w:numId w:val="4"/>
        </w:numPr>
      </w:pPr>
      <w:r w:rsidRPr="00BA6965">
        <w:t>Financial assets measured at Amortised Cost or FVOCI</w:t>
      </w:r>
    </w:p>
    <w:p w14:paraId="698DC18C" w14:textId="77777777" w:rsidR="00BA6965" w:rsidRPr="00BA6965" w:rsidRDefault="00BA6965" w:rsidP="00BA6965">
      <w:pPr>
        <w:numPr>
          <w:ilvl w:val="0"/>
          <w:numId w:val="4"/>
        </w:numPr>
      </w:pPr>
      <w:r w:rsidRPr="00BA6965">
        <w:t>Financial liabilities measured at Amortised Cost</w:t>
      </w:r>
    </w:p>
    <w:p w14:paraId="7E470540" w14:textId="77777777" w:rsidR="00BA6965" w:rsidRPr="00BA6965" w:rsidRDefault="00BA6965" w:rsidP="00BA6965">
      <w:pPr>
        <w:numPr>
          <w:ilvl w:val="0"/>
          <w:numId w:val="4"/>
        </w:numPr>
      </w:pPr>
      <w:r w:rsidRPr="00BA6965">
        <w:t>Certain future transactions</w:t>
      </w:r>
    </w:p>
    <w:p w14:paraId="05A16FF3" w14:textId="77777777" w:rsidR="00BA6965" w:rsidRPr="00BA6965" w:rsidRDefault="00BA6965" w:rsidP="00BA6965">
      <w:r w:rsidRPr="00BA6965">
        <w:t>Comments:</w:t>
      </w:r>
      <w:r w:rsidRPr="00BA6965">
        <w:br/>
        <w:t>The eligibility criteria are generally appropriate.</w:t>
      </w:r>
    </w:p>
    <w:p w14:paraId="1D506EF5" w14:textId="77777777" w:rsidR="00BA6965" w:rsidRPr="00BA6965" w:rsidRDefault="00BA6965" w:rsidP="00BA6965">
      <w:r w:rsidRPr="00BA6965">
        <w:t>Suggestion:</w:t>
      </w:r>
      <w:r w:rsidRPr="00BA6965">
        <w:br/>
        <w:t>Provide additional clarification regarding:</w:t>
      </w:r>
    </w:p>
    <w:p w14:paraId="31BD70E4" w14:textId="77777777" w:rsidR="00BA6965" w:rsidRPr="00BA6965" w:rsidRDefault="00BA6965" w:rsidP="00BA6965">
      <w:pPr>
        <w:numPr>
          <w:ilvl w:val="0"/>
          <w:numId w:val="5"/>
        </w:numPr>
      </w:pPr>
      <w:r w:rsidRPr="00BA6965">
        <w:t>Demand deposits</w:t>
      </w:r>
    </w:p>
    <w:p w14:paraId="4BA0A408" w14:textId="77777777" w:rsidR="00BA6965" w:rsidRPr="00BA6965" w:rsidRDefault="00BA6965" w:rsidP="00BA6965">
      <w:pPr>
        <w:numPr>
          <w:ilvl w:val="0"/>
          <w:numId w:val="5"/>
        </w:numPr>
      </w:pPr>
      <w:r w:rsidRPr="00BA6965">
        <w:t>Behavioural assumptions</w:t>
      </w:r>
    </w:p>
    <w:p w14:paraId="6CC1B280" w14:textId="77777777" w:rsidR="00BA6965" w:rsidRPr="00BA6965" w:rsidRDefault="00BA6965" w:rsidP="00BA6965">
      <w:pPr>
        <w:numPr>
          <w:ilvl w:val="0"/>
          <w:numId w:val="5"/>
        </w:numPr>
      </w:pPr>
      <w:r w:rsidRPr="00BA6965">
        <w:t>Forecast transactions</w:t>
      </w:r>
    </w:p>
    <w:p w14:paraId="5DE9D268" w14:textId="77777777" w:rsidR="00BA6965" w:rsidRPr="00BA6965" w:rsidRDefault="00BA6965" w:rsidP="00BA6965">
      <w:pPr>
        <w:numPr>
          <w:ilvl w:val="0"/>
          <w:numId w:val="5"/>
        </w:numPr>
      </w:pPr>
      <w:r w:rsidRPr="00BA6965">
        <w:t>Prepayment assumptions</w:t>
      </w:r>
    </w:p>
    <w:p w14:paraId="6E39CE00" w14:textId="77777777" w:rsidR="00BA6965" w:rsidRPr="00BA6965" w:rsidRDefault="00BA6965" w:rsidP="00BA6965"/>
    <w:p w14:paraId="3AA0B742" w14:textId="77777777" w:rsidR="00BA6965" w:rsidRPr="00BA6965" w:rsidRDefault="00BA6965" w:rsidP="00BA6965">
      <w:r w:rsidRPr="00BA6965">
        <w:pict w14:anchorId="1A6B5C86">
          <v:rect id="_x0000_i1118" style="width:0;height:1.5pt" o:hralign="center" o:hrstd="t" o:hr="t" fillcolor="#a0a0a0" stroked="f"/>
        </w:pict>
      </w:r>
    </w:p>
    <w:p w14:paraId="42A33020" w14:textId="77777777" w:rsidR="00BA6965" w:rsidRPr="00BA6965" w:rsidRDefault="00BA6965" w:rsidP="00BA6965">
      <w:pPr>
        <w:rPr>
          <w:b/>
          <w:bCs/>
        </w:rPr>
      </w:pPr>
      <w:r w:rsidRPr="00BA6965">
        <w:rPr>
          <w:b/>
          <w:bCs/>
        </w:rPr>
        <w:t>4. Net Repricing Risk Exposure</w:t>
      </w:r>
    </w:p>
    <w:p w14:paraId="097A0A9A" w14:textId="77777777" w:rsidR="00BA6965" w:rsidRPr="00BA6965" w:rsidRDefault="00BA6965" w:rsidP="00BA6965">
      <w:r w:rsidRPr="00BA6965">
        <w:t>Risk exposure is proposed to be determined using expected repricing dates.</w:t>
      </w:r>
    </w:p>
    <w:p w14:paraId="29F57AA8" w14:textId="77777777" w:rsidR="00BA6965" w:rsidRPr="00BA6965" w:rsidRDefault="00BA6965" w:rsidP="00BA6965">
      <w:r w:rsidRPr="00BA6965">
        <w:t>Comments:</w:t>
      </w:r>
      <w:r w:rsidRPr="00BA6965">
        <w:br/>
        <w:t>This aligns with actual banking practices.</w:t>
      </w:r>
    </w:p>
    <w:p w14:paraId="496F4829" w14:textId="77777777" w:rsidR="00BA6965" w:rsidRPr="00BA6965" w:rsidRDefault="00BA6965" w:rsidP="00BA6965">
      <w:r w:rsidRPr="00BA6965">
        <w:t>Suggestion:</w:t>
      </w:r>
      <w:r w:rsidRPr="00BA6965">
        <w:br/>
        <w:t>Illustrative guidance should be provided for:</w:t>
      </w:r>
    </w:p>
    <w:p w14:paraId="4D303186" w14:textId="77777777" w:rsidR="00BA6965" w:rsidRPr="00BA6965" w:rsidRDefault="00BA6965" w:rsidP="00BA6965">
      <w:pPr>
        <w:numPr>
          <w:ilvl w:val="0"/>
          <w:numId w:val="6"/>
        </w:numPr>
      </w:pPr>
      <w:r w:rsidRPr="00BA6965">
        <w:t>Early repayments</w:t>
      </w:r>
    </w:p>
    <w:p w14:paraId="4CE8B958" w14:textId="77777777" w:rsidR="00BA6965" w:rsidRPr="00BA6965" w:rsidRDefault="00BA6965" w:rsidP="00BA6965">
      <w:pPr>
        <w:numPr>
          <w:ilvl w:val="0"/>
          <w:numId w:val="6"/>
        </w:numPr>
      </w:pPr>
      <w:r w:rsidRPr="00BA6965">
        <w:t>Customer options</w:t>
      </w:r>
    </w:p>
    <w:p w14:paraId="171B52BE" w14:textId="77777777" w:rsidR="00BA6965" w:rsidRPr="00BA6965" w:rsidRDefault="00BA6965" w:rsidP="00BA6965">
      <w:pPr>
        <w:numPr>
          <w:ilvl w:val="0"/>
          <w:numId w:val="6"/>
        </w:numPr>
      </w:pPr>
      <w:r w:rsidRPr="00BA6965">
        <w:t>Behavioural assumptions</w:t>
      </w:r>
    </w:p>
    <w:p w14:paraId="0E41FA79" w14:textId="77777777" w:rsidR="00BA6965" w:rsidRPr="00BA6965" w:rsidRDefault="00BA6965" w:rsidP="00BA6965">
      <w:pPr>
        <w:numPr>
          <w:ilvl w:val="0"/>
          <w:numId w:val="6"/>
        </w:numPr>
      </w:pPr>
      <w:r w:rsidRPr="00BA6965">
        <w:t>Non-maturity deposits</w:t>
      </w:r>
    </w:p>
    <w:p w14:paraId="1432B752" w14:textId="77777777" w:rsidR="00BA6965" w:rsidRPr="00BA6965" w:rsidRDefault="00BA6965" w:rsidP="00BA6965">
      <w:r w:rsidRPr="00BA6965">
        <w:pict w14:anchorId="23C940BF">
          <v:rect id="_x0000_i1119" style="width:0;height:1.5pt" o:hralign="center" o:hrstd="t" o:hr="t" fillcolor="#a0a0a0" stroked="f"/>
        </w:pict>
      </w:r>
    </w:p>
    <w:p w14:paraId="78AF8393" w14:textId="77777777" w:rsidR="00BA6965" w:rsidRPr="00BA6965" w:rsidRDefault="00BA6965" w:rsidP="00BA6965">
      <w:pPr>
        <w:rPr>
          <w:b/>
          <w:bCs/>
        </w:rPr>
      </w:pPr>
      <w:r w:rsidRPr="00BA6965">
        <w:rPr>
          <w:b/>
          <w:bCs/>
        </w:rPr>
        <w:t>5. Designated Derivatives</w:t>
      </w:r>
    </w:p>
    <w:p w14:paraId="0057A6DA" w14:textId="77777777" w:rsidR="00BA6965" w:rsidRPr="00BA6965" w:rsidRDefault="00BA6965" w:rsidP="00BA6965">
      <w:r w:rsidRPr="00BA6965">
        <w:t>Only external interest rate derivatives qualify.</w:t>
      </w:r>
    </w:p>
    <w:p w14:paraId="3DA8A3D4" w14:textId="77777777" w:rsidR="00BA6965" w:rsidRPr="00BA6965" w:rsidRDefault="00BA6965" w:rsidP="00BA6965">
      <w:r w:rsidRPr="00BA6965">
        <w:lastRenderedPageBreak/>
        <w:t>Comments:</w:t>
      </w:r>
      <w:r w:rsidRPr="00BA6965">
        <w:br/>
        <w:t>Enhances reliability.</w:t>
      </w:r>
    </w:p>
    <w:p w14:paraId="09A1E36C" w14:textId="77777777" w:rsidR="00BA6965" w:rsidRPr="00BA6965" w:rsidRDefault="00BA6965" w:rsidP="00BA6965">
      <w:r w:rsidRPr="00BA6965">
        <w:t>Concern:</w:t>
      </w:r>
      <w:r w:rsidRPr="00BA6965">
        <w:br/>
        <w:t>Internal derivatives used for central treasury management are excluded in consolidated financial statements.</w:t>
      </w:r>
    </w:p>
    <w:p w14:paraId="229E5B36" w14:textId="77777777" w:rsidR="00BA6965" w:rsidRPr="00BA6965" w:rsidRDefault="00BA6965" w:rsidP="00BA6965">
      <w:r w:rsidRPr="00BA6965">
        <w:t>Suggestion:</w:t>
      </w:r>
      <w:r w:rsidRPr="00BA6965">
        <w:br/>
        <w:t>IASB may evaluate whether limited recognition could be considered where robust internal controls exist.</w:t>
      </w:r>
    </w:p>
    <w:p w14:paraId="301DEA34" w14:textId="77777777" w:rsidR="00BA6965" w:rsidRPr="00BA6965" w:rsidRDefault="00BA6965" w:rsidP="00BA6965"/>
    <w:p w14:paraId="06AEA097" w14:textId="77777777" w:rsidR="00BA6965" w:rsidRPr="00BA6965" w:rsidRDefault="00BA6965" w:rsidP="00BA6965">
      <w:r w:rsidRPr="00BA6965">
        <w:pict w14:anchorId="7AC59E79">
          <v:rect id="_x0000_i1120" style="width:0;height:1.5pt" o:hralign="center" o:hrstd="t" o:hr="t" fillcolor="#a0a0a0" stroked="f"/>
        </w:pict>
      </w:r>
    </w:p>
    <w:p w14:paraId="74537035" w14:textId="77777777" w:rsidR="00BA6965" w:rsidRPr="00BA6965" w:rsidRDefault="00BA6965" w:rsidP="00BA6965">
      <w:pPr>
        <w:rPr>
          <w:b/>
          <w:bCs/>
        </w:rPr>
      </w:pPr>
      <w:r w:rsidRPr="00BA6965">
        <w:rPr>
          <w:b/>
          <w:bCs/>
        </w:rPr>
        <w:t>6. Benchmark Derivatives</w:t>
      </w:r>
    </w:p>
    <w:p w14:paraId="400499AA" w14:textId="77777777" w:rsidR="00BA6965" w:rsidRPr="00BA6965" w:rsidRDefault="00BA6965" w:rsidP="00BA6965">
      <w:r w:rsidRPr="00BA6965">
        <w:t>Benchmark derivatives replicate the repricing profile of managed exposures.</w:t>
      </w:r>
    </w:p>
    <w:p w14:paraId="0B87E4B4" w14:textId="77777777" w:rsidR="00BA6965" w:rsidRPr="00BA6965" w:rsidRDefault="00BA6965" w:rsidP="00BA6965">
      <w:r w:rsidRPr="00BA6965">
        <w:t>Comments:</w:t>
      </w:r>
      <w:r w:rsidRPr="00BA6965">
        <w:br/>
        <w:t>Conceptually appropriate.</w:t>
      </w:r>
    </w:p>
    <w:p w14:paraId="775D8DFA" w14:textId="77777777" w:rsidR="00BA6965" w:rsidRPr="00BA6965" w:rsidRDefault="00BA6965" w:rsidP="00BA6965">
      <w:r w:rsidRPr="00BA6965">
        <w:t>Suggestion:</w:t>
      </w:r>
      <w:r w:rsidRPr="00BA6965">
        <w:br/>
        <w:t>Additional practical examples should be included demonstrating:</w:t>
      </w:r>
    </w:p>
    <w:p w14:paraId="5B1C9FB0" w14:textId="77777777" w:rsidR="00BA6965" w:rsidRPr="00BA6965" w:rsidRDefault="00BA6965" w:rsidP="00BA6965">
      <w:pPr>
        <w:numPr>
          <w:ilvl w:val="0"/>
          <w:numId w:val="7"/>
        </w:numPr>
      </w:pPr>
      <w:r w:rsidRPr="00BA6965">
        <w:t>Unexpected portfolio changes</w:t>
      </w:r>
    </w:p>
    <w:p w14:paraId="7427041E" w14:textId="77777777" w:rsidR="00BA6965" w:rsidRPr="00BA6965" w:rsidRDefault="00BA6965" w:rsidP="00BA6965">
      <w:pPr>
        <w:numPr>
          <w:ilvl w:val="0"/>
          <w:numId w:val="7"/>
        </w:numPr>
      </w:pPr>
      <w:r w:rsidRPr="00BA6965">
        <w:t>Rebalancing</w:t>
      </w:r>
    </w:p>
    <w:p w14:paraId="17D5E34B" w14:textId="77777777" w:rsidR="00BA6965" w:rsidRPr="00BA6965" w:rsidRDefault="00BA6965" w:rsidP="00BA6965">
      <w:pPr>
        <w:numPr>
          <w:ilvl w:val="0"/>
          <w:numId w:val="7"/>
        </w:numPr>
      </w:pPr>
      <w:r w:rsidRPr="00BA6965">
        <w:t>Dynamic portfolio management</w:t>
      </w:r>
    </w:p>
    <w:p w14:paraId="037D7969" w14:textId="77777777" w:rsidR="00BA6965" w:rsidRPr="00BA6965" w:rsidRDefault="00BA6965" w:rsidP="00BA6965">
      <w:r w:rsidRPr="00BA6965">
        <w:pict w14:anchorId="0A5D85EA">
          <v:rect id="_x0000_i1121" style="width:0;height:1.5pt" o:hralign="center" o:hrstd="t" o:hr="t" fillcolor="#a0a0a0" stroked="f"/>
        </w:pict>
      </w:r>
    </w:p>
    <w:p w14:paraId="7FA7575B" w14:textId="77777777" w:rsidR="00BA6965" w:rsidRPr="00BA6965" w:rsidRDefault="00BA6965" w:rsidP="00BA6965">
      <w:pPr>
        <w:rPr>
          <w:b/>
          <w:bCs/>
        </w:rPr>
      </w:pPr>
      <w:r w:rsidRPr="00BA6965">
        <w:rPr>
          <w:b/>
          <w:bCs/>
        </w:rPr>
        <w:t>7. Risk Mitigation Adjustment</w:t>
      </w:r>
    </w:p>
    <w:p w14:paraId="51CF3053" w14:textId="77777777" w:rsidR="00BA6965" w:rsidRPr="00BA6965" w:rsidRDefault="00BA6965" w:rsidP="00BA6965">
      <w:r w:rsidRPr="00BA6965">
        <w:t>Adjustment is measured using a lower-of approach.</w:t>
      </w:r>
    </w:p>
    <w:p w14:paraId="147DBA25" w14:textId="77777777" w:rsidR="00BA6965" w:rsidRPr="00BA6965" w:rsidRDefault="00BA6965" w:rsidP="00BA6965">
      <w:r w:rsidRPr="00BA6965">
        <w:t>Comments:</w:t>
      </w:r>
      <w:r w:rsidRPr="00BA6965">
        <w:br/>
        <w:t>Prudent methodology.</w:t>
      </w:r>
    </w:p>
    <w:p w14:paraId="365AD6B0" w14:textId="77777777" w:rsidR="00BA6965" w:rsidRPr="00BA6965" w:rsidRDefault="00BA6965" w:rsidP="00BA6965">
      <w:r w:rsidRPr="00BA6965">
        <w:t>Suggestion:</w:t>
      </w:r>
      <w:r w:rsidRPr="00BA6965">
        <w:br/>
        <w:t>Clarify:</w:t>
      </w:r>
    </w:p>
    <w:p w14:paraId="55EAEF15" w14:textId="77777777" w:rsidR="00BA6965" w:rsidRPr="00BA6965" w:rsidRDefault="00BA6965" w:rsidP="00BA6965">
      <w:pPr>
        <w:numPr>
          <w:ilvl w:val="0"/>
          <w:numId w:val="8"/>
        </w:numPr>
      </w:pPr>
      <w:r w:rsidRPr="00BA6965">
        <w:t>Present value methodology</w:t>
      </w:r>
    </w:p>
    <w:p w14:paraId="30E2EDF8" w14:textId="77777777" w:rsidR="00BA6965" w:rsidRPr="00BA6965" w:rsidRDefault="00BA6965" w:rsidP="00BA6965">
      <w:pPr>
        <w:numPr>
          <w:ilvl w:val="0"/>
          <w:numId w:val="8"/>
        </w:numPr>
      </w:pPr>
      <w:r w:rsidRPr="00BA6965">
        <w:t>Discount rate assumptions</w:t>
      </w:r>
    </w:p>
    <w:p w14:paraId="0CD007CE" w14:textId="77777777" w:rsidR="00BA6965" w:rsidRPr="00BA6965" w:rsidRDefault="00BA6965" w:rsidP="00BA6965">
      <w:pPr>
        <w:numPr>
          <w:ilvl w:val="0"/>
          <w:numId w:val="8"/>
        </w:numPr>
      </w:pPr>
      <w:r w:rsidRPr="00BA6965">
        <w:t>Recognition of excess adjustments</w:t>
      </w:r>
    </w:p>
    <w:p w14:paraId="23C832F8" w14:textId="77777777" w:rsidR="00BA6965" w:rsidRPr="00BA6965" w:rsidRDefault="00BA6965" w:rsidP="00BA6965"/>
    <w:p w14:paraId="5258125C" w14:textId="77777777" w:rsidR="00BA6965" w:rsidRPr="00BA6965" w:rsidRDefault="00BA6965" w:rsidP="00BA6965">
      <w:r w:rsidRPr="00BA6965">
        <w:pict w14:anchorId="40E72285">
          <v:rect id="_x0000_i1122" style="width:0;height:1.5pt" o:hralign="center" o:hrstd="t" o:hr="t" fillcolor="#a0a0a0" stroked="f"/>
        </w:pict>
      </w:r>
    </w:p>
    <w:p w14:paraId="17C52B17" w14:textId="77777777" w:rsidR="00BA6965" w:rsidRPr="00BA6965" w:rsidRDefault="00BA6965" w:rsidP="00BA6965">
      <w:pPr>
        <w:rPr>
          <w:b/>
          <w:bCs/>
        </w:rPr>
      </w:pPr>
      <w:r w:rsidRPr="00BA6965">
        <w:rPr>
          <w:b/>
          <w:bCs/>
        </w:rPr>
        <w:lastRenderedPageBreak/>
        <w:t>8. Discontinuation</w:t>
      </w:r>
    </w:p>
    <w:p w14:paraId="0212D8C4" w14:textId="77777777" w:rsidR="00BA6965" w:rsidRPr="00BA6965" w:rsidRDefault="00BA6965" w:rsidP="00BA6965">
      <w:r w:rsidRPr="00BA6965">
        <w:t>Risk Mitigation Accounting ceases only upon a genuine change in risk management strategy.</w:t>
      </w:r>
    </w:p>
    <w:p w14:paraId="28128EA7" w14:textId="77777777" w:rsidR="00BA6965" w:rsidRPr="00BA6965" w:rsidRDefault="00BA6965" w:rsidP="00BA6965">
      <w:r w:rsidRPr="00BA6965">
        <w:t>Comments:</w:t>
      </w:r>
      <w:r w:rsidRPr="00BA6965">
        <w:br/>
        <w:t>Reasonable proposal.</w:t>
      </w:r>
    </w:p>
    <w:p w14:paraId="6AF76007" w14:textId="77777777" w:rsidR="00BA6965" w:rsidRPr="00BA6965" w:rsidRDefault="00BA6965" w:rsidP="00BA6965">
      <w:r w:rsidRPr="00BA6965">
        <w:t>Suggestion:</w:t>
      </w:r>
      <w:r w:rsidRPr="00BA6965">
        <w:br/>
        <w:t>Clarify distinction between:</w:t>
      </w:r>
    </w:p>
    <w:p w14:paraId="2F2BE8B3" w14:textId="77777777" w:rsidR="00BA6965" w:rsidRPr="00BA6965" w:rsidRDefault="00BA6965" w:rsidP="00BA6965">
      <w:pPr>
        <w:numPr>
          <w:ilvl w:val="0"/>
          <w:numId w:val="9"/>
        </w:numPr>
      </w:pPr>
      <w:r w:rsidRPr="00BA6965">
        <w:t>Strategy changes</w:t>
      </w:r>
    </w:p>
    <w:p w14:paraId="428AF41E" w14:textId="77777777" w:rsidR="00BA6965" w:rsidRPr="00BA6965" w:rsidRDefault="00BA6965" w:rsidP="00BA6965">
      <w:pPr>
        <w:numPr>
          <w:ilvl w:val="0"/>
          <w:numId w:val="9"/>
        </w:numPr>
      </w:pPr>
      <w:r w:rsidRPr="00BA6965">
        <w:t>Routine portfolio rebalancing</w:t>
      </w:r>
    </w:p>
    <w:p w14:paraId="67C3FB9D" w14:textId="77777777" w:rsidR="00BA6965" w:rsidRPr="00BA6965" w:rsidRDefault="00BA6965" w:rsidP="00BA6965">
      <w:pPr>
        <w:numPr>
          <w:ilvl w:val="0"/>
          <w:numId w:val="9"/>
        </w:numPr>
      </w:pPr>
      <w:r w:rsidRPr="00BA6965">
        <w:t>Day-to-day treasury activities</w:t>
      </w:r>
    </w:p>
    <w:p w14:paraId="64989245" w14:textId="77777777" w:rsidR="00BA6965" w:rsidRPr="00BA6965" w:rsidRDefault="00BA6965" w:rsidP="00BA6965"/>
    <w:p w14:paraId="4C3051E8" w14:textId="77777777" w:rsidR="00BA6965" w:rsidRPr="00BA6965" w:rsidRDefault="00BA6965" w:rsidP="00BA6965">
      <w:r w:rsidRPr="00BA6965">
        <w:pict w14:anchorId="7E243136">
          <v:rect id="_x0000_i1123" style="width:0;height:1.5pt" o:hralign="center" o:hrstd="t" o:hr="t" fillcolor="#a0a0a0" stroked="f"/>
        </w:pict>
      </w:r>
    </w:p>
    <w:p w14:paraId="74C3203F" w14:textId="77777777" w:rsidR="00BA6965" w:rsidRPr="00BA6965" w:rsidRDefault="00BA6965" w:rsidP="00BA6965">
      <w:pPr>
        <w:rPr>
          <w:b/>
          <w:bCs/>
        </w:rPr>
      </w:pPr>
      <w:r w:rsidRPr="00BA6965">
        <w:rPr>
          <w:b/>
          <w:bCs/>
        </w:rPr>
        <w:t>9. Transition</w:t>
      </w:r>
    </w:p>
    <w:p w14:paraId="7CB91176" w14:textId="77777777" w:rsidR="00BA6965" w:rsidRPr="00BA6965" w:rsidRDefault="00BA6965" w:rsidP="00BA6965">
      <w:r w:rsidRPr="00BA6965">
        <w:t>Prospective application has been proposed.</w:t>
      </w:r>
    </w:p>
    <w:p w14:paraId="62DFD061" w14:textId="77777777" w:rsidR="00BA6965" w:rsidRPr="00BA6965" w:rsidRDefault="00BA6965" w:rsidP="00BA6965">
      <w:r w:rsidRPr="00BA6965">
        <w:t>Comments:</w:t>
      </w:r>
      <w:r w:rsidRPr="00BA6965">
        <w:br/>
        <w:t>Practical and cost-effective.</w:t>
      </w:r>
    </w:p>
    <w:p w14:paraId="3F4A0476" w14:textId="77777777" w:rsidR="00BA6965" w:rsidRPr="00BA6965" w:rsidRDefault="00BA6965" w:rsidP="00BA6965">
      <w:r w:rsidRPr="00BA6965">
        <w:t>Suggestion:</w:t>
      </w:r>
      <w:r w:rsidRPr="00BA6965">
        <w:br/>
        <w:t>Provide additional transition relief where:</w:t>
      </w:r>
    </w:p>
    <w:p w14:paraId="1599F9F0" w14:textId="77777777" w:rsidR="00BA6965" w:rsidRPr="00BA6965" w:rsidRDefault="00BA6965" w:rsidP="00BA6965">
      <w:pPr>
        <w:numPr>
          <w:ilvl w:val="0"/>
          <w:numId w:val="10"/>
        </w:numPr>
      </w:pPr>
      <w:r w:rsidRPr="00BA6965">
        <w:t>Existing hedge relationships require redesign.</w:t>
      </w:r>
    </w:p>
    <w:p w14:paraId="4F162236" w14:textId="77777777" w:rsidR="00BA6965" w:rsidRPr="00BA6965" w:rsidRDefault="00BA6965" w:rsidP="00BA6965">
      <w:pPr>
        <w:numPr>
          <w:ilvl w:val="0"/>
          <w:numId w:val="10"/>
        </w:numPr>
      </w:pPr>
      <w:r w:rsidRPr="00BA6965">
        <w:t>IT systems require significant modification.</w:t>
      </w:r>
    </w:p>
    <w:p w14:paraId="1F2B4A09" w14:textId="77777777" w:rsidR="00BA6965" w:rsidRPr="00BA6965" w:rsidRDefault="00BA6965" w:rsidP="00BA6965">
      <w:r w:rsidRPr="00BA6965">
        <w:pict w14:anchorId="4D80F035">
          <v:rect id="_x0000_i1124" style="width:0;height:1.5pt" o:hralign="center" o:hrstd="t" o:hr="t" fillcolor="#a0a0a0" stroked="f"/>
        </w:pict>
      </w:r>
    </w:p>
    <w:p w14:paraId="5AC3FBA2" w14:textId="77777777" w:rsidR="00BA6965" w:rsidRPr="00BA6965" w:rsidRDefault="00BA6965" w:rsidP="00BA6965">
      <w:pPr>
        <w:rPr>
          <w:b/>
          <w:bCs/>
        </w:rPr>
      </w:pPr>
      <w:r w:rsidRPr="00BA6965">
        <w:rPr>
          <w:b/>
          <w:bCs/>
        </w:rPr>
        <w:t>10. Withdrawal of IAS 39</w:t>
      </w:r>
    </w:p>
    <w:p w14:paraId="2B9950D1" w14:textId="77777777" w:rsidR="00BA6965" w:rsidRPr="00BA6965" w:rsidRDefault="00BA6965" w:rsidP="00BA6965">
      <w:r w:rsidRPr="00BA6965">
        <w:t>IASB proposes eventual withdrawal of remaining macro hedge accounting provisions.</w:t>
      </w:r>
    </w:p>
    <w:p w14:paraId="33BE2909" w14:textId="77777777" w:rsidR="00BA6965" w:rsidRPr="00BA6965" w:rsidRDefault="00BA6965" w:rsidP="00BA6965">
      <w:r w:rsidRPr="00BA6965">
        <w:t>Comments:</w:t>
      </w:r>
      <w:r w:rsidRPr="00BA6965">
        <w:br/>
        <w:t>Acceptable in principle.</w:t>
      </w:r>
    </w:p>
    <w:p w14:paraId="21390035" w14:textId="77777777" w:rsidR="00BA6965" w:rsidRPr="00BA6965" w:rsidRDefault="00BA6965" w:rsidP="00BA6965">
      <w:r w:rsidRPr="00BA6965">
        <w:t>Recommendation:</w:t>
      </w:r>
      <w:r w:rsidRPr="00BA6965">
        <w:br/>
        <w:t>Withdrawal should occur only after:</w:t>
      </w:r>
    </w:p>
    <w:p w14:paraId="22C9C51A" w14:textId="77777777" w:rsidR="00BA6965" w:rsidRPr="00BA6965" w:rsidRDefault="00BA6965" w:rsidP="00BA6965">
      <w:pPr>
        <w:numPr>
          <w:ilvl w:val="0"/>
          <w:numId w:val="11"/>
        </w:numPr>
      </w:pPr>
      <w:r w:rsidRPr="00BA6965">
        <w:t>Adequate implementation experience.</w:t>
      </w:r>
    </w:p>
    <w:p w14:paraId="319B33BD" w14:textId="77777777" w:rsidR="00BA6965" w:rsidRPr="00BA6965" w:rsidRDefault="00BA6965" w:rsidP="00BA6965">
      <w:pPr>
        <w:numPr>
          <w:ilvl w:val="0"/>
          <w:numId w:val="11"/>
        </w:numPr>
      </w:pPr>
      <w:r w:rsidRPr="00BA6965">
        <w:t>Minimum two-year transition period.</w:t>
      </w:r>
    </w:p>
    <w:p w14:paraId="2A1CA377" w14:textId="77777777" w:rsidR="00BA6965" w:rsidRPr="00BA6965" w:rsidRDefault="00BA6965" w:rsidP="00BA6965"/>
    <w:p w14:paraId="27B7E2D9" w14:textId="77777777" w:rsidR="00BA6965" w:rsidRPr="00BA6965" w:rsidRDefault="00BA6965" w:rsidP="00BA6965">
      <w:r w:rsidRPr="00BA6965">
        <w:pict w14:anchorId="668C0A60">
          <v:rect id="_x0000_i1125" style="width:0;height:1.5pt" o:hralign="center" o:hrstd="t" o:hr="t" fillcolor="#a0a0a0" stroked="f"/>
        </w:pict>
      </w:r>
    </w:p>
    <w:p w14:paraId="548677C5" w14:textId="77777777" w:rsidR="00BA6965" w:rsidRPr="00BA6965" w:rsidRDefault="00BA6965" w:rsidP="00BA6965">
      <w:pPr>
        <w:rPr>
          <w:b/>
          <w:bCs/>
        </w:rPr>
      </w:pPr>
      <w:r w:rsidRPr="00BA6965">
        <w:rPr>
          <w:b/>
          <w:bCs/>
        </w:rPr>
        <w:lastRenderedPageBreak/>
        <w:t>11. Disclosure Requirements</w:t>
      </w:r>
    </w:p>
    <w:p w14:paraId="45ADB1B5" w14:textId="77777777" w:rsidR="00BA6965" w:rsidRPr="00BA6965" w:rsidRDefault="00BA6965" w:rsidP="00BA6965">
      <w:r w:rsidRPr="00BA6965">
        <w:t>Extensive new disclosures have been proposed.</w:t>
      </w:r>
    </w:p>
    <w:p w14:paraId="3387513C" w14:textId="77777777" w:rsidR="00BA6965" w:rsidRPr="00BA6965" w:rsidRDefault="00BA6965" w:rsidP="00BA6965">
      <w:r w:rsidRPr="00BA6965">
        <w:t>Comments:</w:t>
      </w:r>
      <w:r w:rsidRPr="00BA6965">
        <w:br/>
        <w:t>Enhanced transparency is welcomed.</w:t>
      </w:r>
    </w:p>
    <w:p w14:paraId="69443486" w14:textId="77777777" w:rsidR="00BA6965" w:rsidRPr="00BA6965" w:rsidRDefault="00BA6965" w:rsidP="00BA6965">
      <w:r w:rsidRPr="00BA6965">
        <w:t>Concern:</w:t>
      </w:r>
      <w:r w:rsidRPr="00BA6965">
        <w:br/>
        <w:t>Large disclosure volumes may reduce understandability.</w:t>
      </w:r>
    </w:p>
    <w:p w14:paraId="789FEEB0" w14:textId="77777777" w:rsidR="00BA6965" w:rsidRPr="00BA6965" w:rsidRDefault="00BA6965" w:rsidP="00BA6965">
      <w:r w:rsidRPr="00BA6965">
        <w:t>Suggestion:</w:t>
      </w:r>
      <w:r w:rsidRPr="00BA6965">
        <w:br/>
        <w:t>Introduce proportional disclosure requirements for less complex entities.</w:t>
      </w:r>
    </w:p>
    <w:p w14:paraId="2A94D95D" w14:textId="77777777" w:rsidR="00BA6965" w:rsidRPr="00BA6965" w:rsidRDefault="00BA6965" w:rsidP="00BA6965"/>
    <w:p w14:paraId="2B638F57" w14:textId="77777777" w:rsidR="00BA6965" w:rsidRPr="00BA6965" w:rsidRDefault="00BA6965" w:rsidP="00BA6965">
      <w:r w:rsidRPr="00BA6965">
        <w:pict w14:anchorId="2576FF03">
          <v:rect id="_x0000_i1126" style="width:0;height:1.5pt" o:hralign="center" o:hrstd="t" o:hr="t" fillcolor="#a0a0a0" stroked="f"/>
        </w:pict>
      </w:r>
    </w:p>
    <w:p w14:paraId="257ECC2E" w14:textId="77777777" w:rsidR="00BA6965" w:rsidRPr="00BA6965" w:rsidRDefault="00BA6965" w:rsidP="00BA6965">
      <w:pPr>
        <w:rPr>
          <w:b/>
          <w:bCs/>
        </w:rPr>
      </w:pPr>
      <w:proofErr w:type="gramStart"/>
      <w:r w:rsidRPr="00BA6965">
        <w:rPr>
          <w:b/>
          <w:bCs/>
        </w:rPr>
        <w:t>Overall</w:t>
      </w:r>
      <w:proofErr w:type="gramEnd"/>
      <w:r w:rsidRPr="00BA6965">
        <w:rPr>
          <w:b/>
          <w:bCs/>
        </w:rPr>
        <w:t xml:space="preserve"> Strengths</w:t>
      </w:r>
    </w:p>
    <w:p w14:paraId="0C6BD6CF" w14:textId="77777777" w:rsidR="00BA6965" w:rsidRPr="00BA6965" w:rsidRDefault="00BA6965" w:rsidP="00BA6965">
      <w:pPr>
        <w:numPr>
          <w:ilvl w:val="0"/>
          <w:numId w:val="12"/>
        </w:numPr>
      </w:pPr>
      <w:r w:rsidRPr="00BA6965">
        <w:t>Better reflects economic risk management.</w:t>
      </w:r>
    </w:p>
    <w:p w14:paraId="201C6B5D" w14:textId="77777777" w:rsidR="00BA6965" w:rsidRPr="00BA6965" w:rsidRDefault="00BA6965" w:rsidP="00BA6965">
      <w:pPr>
        <w:numPr>
          <w:ilvl w:val="0"/>
          <w:numId w:val="12"/>
        </w:numPr>
      </w:pPr>
      <w:r w:rsidRPr="00BA6965">
        <w:t>Addresses accounting mismatches.</w:t>
      </w:r>
    </w:p>
    <w:p w14:paraId="7D4F900B" w14:textId="77777777" w:rsidR="00BA6965" w:rsidRPr="00BA6965" w:rsidRDefault="00BA6965" w:rsidP="00BA6965">
      <w:pPr>
        <w:numPr>
          <w:ilvl w:val="0"/>
          <w:numId w:val="12"/>
        </w:numPr>
      </w:pPr>
      <w:r w:rsidRPr="00BA6965">
        <w:t>Improves transparency.</w:t>
      </w:r>
    </w:p>
    <w:p w14:paraId="7055FE37" w14:textId="77777777" w:rsidR="00BA6965" w:rsidRPr="00BA6965" w:rsidRDefault="00BA6965" w:rsidP="00BA6965">
      <w:pPr>
        <w:numPr>
          <w:ilvl w:val="0"/>
          <w:numId w:val="12"/>
        </w:numPr>
      </w:pPr>
      <w:r w:rsidRPr="00BA6965">
        <w:t>Consistent with modern Asset Liability Management practices.</w:t>
      </w:r>
    </w:p>
    <w:p w14:paraId="2E066683" w14:textId="77777777" w:rsidR="00BA6965" w:rsidRPr="00BA6965" w:rsidRDefault="00BA6965" w:rsidP="00BA6965">
      <w:pPr>
        <w:numPr>
          <w:ilvl w:val="0"/>
          <w:numId w:val="12"/>
        </w:numPr>
      </w:pPr>
      <w:r w:rsidRPr="00BA6965">
        <w:t>Flexible through optional adoption.</w:t>
      </w:r>
    </w:p>
    <w:p w14:paraId="46978409" w14:textId="77777777" w:rsidR="00BA6965" w:rsidRPr="00BA6965" w:rsidRDefault="00BA6965" w:rsidP="00BA6965">
      <w:r w:rsidRPr="00BA6965">
        <w:pict w14:anchorId="6121CC69">
          <v:rect id="_x0000_i1127" style="width:0;height:1.5pt" o:hralign="center" o:hrstd="t" o:hr="t" fillcolor="#a0a0a0" stroked="f"/>
        </w:pict>
      </w:r>
    </w:p>
    <w:p w14:paraId="3DB11BF2" w14:textId="77777777" w:rsidR="00BA6965" w:rsidRPr="00BA6965" w:rsidRDefault="00BA6965" w:rsidP="00BA6965">
      <w:pPr>
        <w:rPr>
          <w:b/>
          <w:bCs/>
        </w:rPr>
      </w:pPr>
      <w:r w:rsidRPr="00BA6965">
        <w:rPr>
          <w:b/>
          <w:bCs/>
        </w:rPr>
        <w:t>Key Concerns</w:t>
      </w:r>
    </w:p>
    <w:p w14:paraId="4E89E21D" w14:textId="77777777" w:rsidR="00BA6965" w:rsidRPr="00BA6965" w:rsidRDefault="00BA6965" w:rsidP="00BA6965">
      <w:pPr>
        <w:numPr>
          <w:ilvl w:val="0"/>
          <w:numId w:val="13"/>
        </w:numPr>
      </w:pPr>
      <w:r w:rsidRPr="00BA6965">
        <w:t>Significant implementation cost.</w:t>
      </w:r>
    </w:p>
    <w:p w14:paraId="1AB44C27" w14:textId="77777777" w:rsidR="00BA6965" w:rsidRPr="00BA6965" w:rsidRDefault="00BA6965" w:rsidP="00BA6965">
      <w:pPr>
        <w:numPr>
          <w:ilvl w:val="0"/>
          <w:numId w:val="13"/>
        </w:numPr>
      </w:pPr>
      <w:r w:rsidRPr="00BA6965">
        <w:t>Extensive documentation.</w:t>
      </w:r>
    </w:p>
    <w:p w14:paraId="11DA30F0" w14:textId="77777777" w:rsidR="00BA6965" w:rsidRPr="00BA6965" w:rsidRDefault="00BA6965" w:rsidP="00BA6965">
      <w:pPr>
        <w:numPr>
          <w:ilvl w:val="0"/>
          <w:numId w:val="13"/>
        </w:numPr>
      </w:pPr>
      <w:r w:rsidRPr="00BA6965">
        <w:t>High system modification requirements.</w:t>
      </w:r>
    </w:p>
    <w:p w14:paraId="7A942693" w14:textId="77777777" w:rsidR="00BA6965" w:rsidRPr="00BA6965" w:rsidRDefault="00BA6965" w:rsidP="00BA6965">
      <w:pPr>
        <w:numPr>
          <w:ilvl w:val="0"/>
          <w:numId w:val="13"/>
        </w:numPr>
      </w:pPr>
      <w:r w:rsidRPr="00BA6965">
        <w:t>Limited guidance on behavioural assumptions.</w:t>
      </w:r>
    </w:p>
    <w:p w14:paraId="2098C8DE" w14:textId="77777777" w:rsidR="00BA6965" w:rsidRPr="00BA6965" w:rsidRDefault="00BA6965" w:rsidP="00BA6965">
      <w:pPr>
        <w:numPr>
          <w:ilvl w:val="0"/>
          <w:numId w:val="13"/>
        </w:numPr>
      </w:pPr>
      <w:r w:rsidRPr="00BA6965">
        <w:t>Additional disclosure burden.</w:t>
      </w:r>
    </w:p>
    <w:p w14:paraId="205EC30B" w14:textId="77777777" w:rsidR="00BA6965" w:rsidRPr="00BA6965" w:rsidRDefault="00BA6965" w:rsidP="00BA6965">
      <w:pPr>
        <w:numPr>
          <w:ilvl w:val="0"/>
          <w:numId w:val="13"/>
        </w:numPr>
      </w:pPr>
      <w:r w:rsidRPr="00BA6965">
        <w:t>Transition complexity for existing hedge accounting.</w:t>
      </w:r>
    </w:p>
    <w:p w14:paraId="6E6D4107" w14:textId="77777777" w:rsidR="00BA6965" w:rsidRPr="00BA6965" w:rsidRDefault="00BA6965" w:rsidP="00BA6965">
      <w:r w:rsidRPr="00BA6965">
        <w:pict w14:anchorId="68ABCC6E">
          <v:rect id="_x0000_i1128" style="width:0;height:1.5pt" o:hralign="center" o:hrstd="t" o:hr="t" fillcolor="#a0a0a0" stroked="f"/>
        </w:pict>
      </w:r>
    </w:p>
    <w:p w14:paraId="7064A70C" w14:textId="77777777" w:rsidR="00BA6965" w:rsidRPr="00BA6965" w:rsidRDefault="00BA6965" w:rsidP="00BA6965">
      <w:pPr>
        <w:rPr>
          <w:b/>
          <w:bCs/>
        </w:rPr>
      </w:pPr>
      <w:r w:rsidRPr="00BA6965">
        <w:rPr>
          <w:b/>
          <w:bCs/>
        </w:rPr>
        <w:t>Recommendations</w:t>
      </w:r>
    </w:p>
    <w:p w14:paraId="60695ACA" w14:textId="77777777" w:rsidR="00BA6965" w:rsidRPr="00BA6965" w:rsidRDefault="00BA6965" w:rsidP="00BA6965">
      <w:pPr>
        <w:numPr>
          <w:ilvl w:val="0"/>
          <w:numId w:val="14"/>
        </w:numPr>
      </w:pPr>
      <w:r w:rsidRPr="00BA6965">
        <w:t>Include additional implementation examples.</w:t>
      </w:r>
    </w:p>
    <w:p w14:paraId="44CCD2B8" w14:textId="77777777" w:rsidR="00BA6965" w:rsidRPr="00BA6965" w:rsidRDefault="00BA6965" w:rsidP="00BA6965">
      <w:pPr>
        <w:numPr>
          <w:ilvl w:val="0"/>
          <w:numId w:val="14"/>
        </w:numPr>
      </w:pPr>
      <w:r w:rsidRPr="00BA6965">
        <w:t>Issue industry-specific application guidance.</w:t>
      </w:r>
    </w:p>
    <w:p w14:paraId="00BCC6CC" w14:textId="77777777" w:rsidR="00BA6965" w:rsidRPr="00BA6965" w:rsidRDefault="00BA6965" w:rsidP="00BA6965">
      <w:pPr>
        <w:numPr>
          <w:ilvl w:val="0"/>
          <w:numId w:val="14"/>
        </w:numPr>
      </w:pPr>
      <w:r w:rsidRPr="00BA6965">
        <w:t>Provide proportional relief for smaller entities.</w:t>
      </w:r>
    </w:p>
    <w:p w14:paraId="65232D70" w14:textId="77777777" w:rsidR="00BA6965" w:rsidRPr="00BA6965" w:rsidRDefault="00BA6965" w:rsidP="00BA6965">
      <w:pPr>
        <w:numPr>
          <w:ilvl w:val="0"/>
          <w:numId w:val="14"/>
        </w:numPr>
      </w:pPr>
      <w:r w:rsidRPr="00BA6965">
        <w:lastRenderedPageBreak/>
        <w:t>Clarify behavioural assumptions for open portfolios.</w:t>
      </w:r>
    </w:p>
    <w:p w14:paraId="11931DC6" w14:textId="77777777" w:rsidR="00BA6965" w:rsidRPr="00BA6965" w:rsidRDefault="00BA6965" w:rsidP="00BA6965">
      <w:pPr>
        <w:numPr>
          <w:ilvl w:val="0"/>
          <w:numId w:val="14"/>
        </w:numPr>
      </w:pPr>
      <w:r w:rsidRPr="00BA6965">
        <w:t>Provide transition relief.</w:t>
      </w:r>
    </w:p>
    <w:p w14:paraId="53E9EC13" w14:textId="77777777" w:rsidR="00BA6965" w:rsidRPr="00BA6965" w:rsidRDefault="00BA6965" w:rsidP="00BA6965">
      <w:pPr>
        <w:numPr>
          <w:ilvl w:val="0"/>
          <w:numId w:val="14"/>
        </w:numPr>
      </w:pPr>
      <w:r w:rsidRPr="00BA6965">
        <w:t>Defer withdrawal of IAS 39 until sufficient implementation experience is obtained.</w:t>
      </w:r>
    </w:p>
    <w:p w14:paraId="5012891E" w14:textId="77777777" w:rsidR="00BA6965" w:rsidRPr="00BA6965" w:rsidRDefault="00BA6965" w:rsidP="00BA6965">
      <w:pPr>
        <w:numPr>
          <w:ilvl w:val="0"/>
          <w:numId w:val="14"/>
        </w:numPr>
      </w:pPr>
      <w:r w:rsidRPr="00BA6965">
        <w:t>Simplify documentation requirements by allowing reliance on existing risk management documentation.</w:t>
      </w:r>
    </w:p>
    <w:p w14:paraId="7223132B" w14:textId="77777777" w:rsidR="00BA6965" w:rsidRPr="00BA6965" w:rsidRDefault="00BA6965" w:rsidP="00BA6965">
      <w:pPr>
        <w:numPr>
          <w:ilvl w:val="0"/>
          <w:numId w:val="14"/>
        </w:numPr>
      </w:pPr>
      <w:r w:rsidRPr="00BA6965">
        <w:t>Rationalise disclosure requirements to maintain clarity.</w:t>
      </w:r>
    </w:p>
    <w:p w14:paraId="46A35F91" w14:textId="77777777" w:rsidR="00BA6965" w:rsidRPr="00BA6965" w:rsidRDefault="00BA6965" w:rsidP="00BA6965">
      <w:r w:rsidRPr="00BA6965">
        <w:pict w14:anchorId="21CE9492">
          <v:rect id="_x0000_i1129" style="width:0;height:1.5pt" o:hralign="center" o:hrstd="t" o:hr="t" fillcolor="#a0a0a0" stroked="f"/>
        </w:pict>
      </w:r>
    </w:p>
    <w:p w14:paraId="04961CC4" w14:textId="77777777" w:rsidR="00BA6965" w:rsidRPr="00BA6965" w:rsidRDefault="00BA6965" w:rsidP="00BA6965">
      <w:pPr>
        <w:rPr>
          <w:b/>
          <w:bCs/>
        </w:rPr>
      </w:pPr>
      <w:proofErr w:type="gramStart"/>
      <w:r w:rsidRPr="00BA6965">
        <w:rPr>
          <w:b/>
          <w:bCs/>
        </w:rPr>
        <w:t>Overall</w:t>
      </w:r>
      <w:proofErr w:type="gramEnd"/>
      <w:r w:rsidRPr="00BA6965">
        <w:rPr>
          <w:b/>
          <w:bCs/>
        </w:rPr>
        <w:t xml:space="preserve"> View</w:t>
      </w:r>
    </w:p>
    <w:p w14:paraId="0DDA2B93" w14:textId="77777777" w:rsidR="00BA6965" w:rsidRPr="00BA6965" w:rsidRDefault="00BA6965" w:rsidP="00BA6965">
      <w:r w:rsidRPr="00BA6965">
        <w:t>The Exposure Draft represents a significant improvement in accounting for dynamic interest rate risk management and is expected to provide financial statements that better reflect economic risk management activities. However, additional implementation guidance, practical expedients, transition relief and proportionate disclosure requirements would facilitate consistent application and reduce unnecessary compliance burden while preserving the quality of financial reporting.</w:t>
      </w:r>
    </w:p>
    <w:p w14:paraId="2FF7EEC6" w14:textId="77777777" w:rsidR="00BA6965" w:rsidRDefault="00BA6965"/>
    <w:sectPr w:rsidR="00BA69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52B66"/>
    <w:multiLevelType w:val="multilevel"/>
    <w:tmpl w:val="48565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3C73E7"/>
    <w:multiLevelType w:val="multilevel"/>
    <w:tmpl w:val="57109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893EFD"/>
    <w:multiLevelType w:val="multilevel"/>
    <w:tmpl w:val="47F86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FE27CE"/>
    <w:multiLevelType w:val="multilevel"/>
    <w:tmpl w:val="9314F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BC1480"/>
    <w:multiLevelType w:val="multilevel"/>
    <w:tmpl w:val="3FA4D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BE68EE"/>
    <w:multiLevelType w:val="multilevel"/>
    <w:tmpl w:val="61940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AC56C6"/>
    <w:multiLevelType w:val="multilevel"/>
    <w:tmpl w:val="7CCE5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96114A"/>
    <w:multiLevelType w:val="multilevel"/>
    <w:tmpl w:val="E24E4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974D4A"/>
    <w:multiLevelType w:val="multilevel"/>
    <w:tmpl w:val="BF300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BA70C5"/>
    <w:multiLevelType w:val="multilevel"/>
    <w:tmpl w:val="209A1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C852DD1"/>
    <w:multiLevelType w:val="multilevel"/>
    <w:tmpl w:val="CF3A6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D343AD"/>
    <w:multiLevelType w:val="multilevel"/>
    <w:tmpl w:val="28941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40345A"/>
    <w:multiLevelType w:val="multilevel"/>
    <w:tmpl w:val="20AA5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8D160FC"/>
    <w:multiLevelType w:val="multilevel"/>
    <w:tmpl w:val="EE642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5593146">
    <w:abstractNumId w:val="7"/>
  </w:num>
  <w:num w:numId="2" w16cid:durableId="2101178090">
    <w:abstractNumId w:val="3"/>
  </w:num>
  <w:num w:numId="3" w16cid:durableId="189878522">
    <w:abstractNumId w:val="9"/>
  </w:num>
  <w:num w:numId="4" w16cid:durableId="2003660324">
    <w:abstractNumId w:val="12"/>
  </w:num>
  <w:num w:numId="5" w16cid:durableId="1580671073">
    <w:abstractNumId w:val="6"/>
  </w:num>
  <w:num w:numId="6" w16cid:durableId="1273323271">
    <w:abstractNumId w:val="13"/>
  </w:num>
  <w:num w:numId="7" w16cid:durableId="640769173">
    <w:abstractNumId w:val="10"/>
  </w:num>
  <w:num w:numId="8" w16cid:durableId="1183275910">
    <w:abstractNumId w:val="1"/>
  </w:num>
  <w:num w:numId="9" w16cid:durableId="1230072042">
    <w:abstractNumId w:val="11"/>
  </w:num>
  <w:num w:numId="10" w16cid:durableId="623078491">
    <w:abstractNumId w:val="5"/>
  </w:num>
  <w:num w:numId="11" w16cid:durableId="1970553463">
    <w:abstractNumId w:val="8"/>
  </w:num>
  <w:num w:numId="12" w16cid:durableId="1482042704">
    <w:abstractNumId w:val="2"/>
  </w:num>
  <w:num w:numId="13" w16cid:durableId="465006816">
    <w:abstractNumId w:val="0"/>
  </w:num>
  <w:num w:numId="14" w16cid:durableId="18122089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965"/>
    <w:rsid w:val="004E1F09"/>
    <w:rsid w:val="00BA6965"/>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38582"/>
  <w15:chartTrackingRefBased/>
  <w15:docId w15:val="{6CBFE52D-AF66-441C-ABA5-AD08377E2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696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A696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A696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A696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A696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A69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69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69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69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696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A696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A696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A696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A696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A69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69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69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6965"/>
    <w:rPr>
      <w:rFonts w:eastAsiaTheme="majorEastAsia" w:cstheme="majorBidi"/>
      <w:color w:val="272727" w:themeColor="text1" w:themeTint="D8"/>
    </w:rPr>
  </w:style>
  <w:style w:type="paragraph" w:styleId="Title">
    <w:name w:val="Title"/>
    <w:basedOn w:val="Normal"/>
    <w:next w:val="Normal"/>
    <w:link w:val="TitleChar"/>
    <w:uiPriority w:val="10"/>
    <w:qFormat/>
    <w:rsid w:val="00BA69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69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69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69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6965"/>
    <w:pPr>
      <w:spacing w:before="160"/>
      <w:jc w:val="center"/>
    </w:pPr>
    <w:rPr>
      <w:i/>
      <w:iCs/>
      <w:color w:val="404040" w:themeColor="text1" w:themeTint="BF"/>
    </w:rPr>
  </w:style>
  <w:style w:type="character" w:customStyle="1" w:styleId="QuoteChar">
    <w:name w:val="Quote Char"/>
    <w:basedOn w:val="DefaultParagraphFont"/>
    <w:link w:val="Quote"/>
    <w:uiPriority w:val="29"/>
    <w:rsid w:val="00BA6965"/>
    <w:rPr>
      <w:i/>
      <w:iCs/>
      <w:color w:val="404040" w:themeColor="text1" w:themeTint="BF"/>
    </w:rPr>
  </w:style>
  <w:style w:type="paragraph" w:styleId="ListParagraph">
    <w:name w:val="List Paragraph"/>
    <w:basedOn w:val="Normal"/>
    <w:uiPriority w:val="34"/>
    <w:qFormat/>
    <w:rsid w:val="00BA6965"/>
    <w:pPr>
      <w:ind w:left="720"/>
      <w:contextualSpacing/>
    </w:pPr>
  </w:style>
  <w:style w:type="character" w:styleId="IntenseEmphasis">
    <w:name w:val="Intense Emphasis"/>
    <w:basedOn w:val="DefaultParagraphFont"/>
    <w:uiPriority w:val="21"/>
    <w:qFormat/>
    <w:rsid w:val="00BA6965"/>
    <w:rPr>
      <w:i/>
      <w:iCs/>
      <w:color w:val="2F5496" w:themeColor="accent1" w:themeShade="BF"/>
    </w:rPr>
  </w:style>
  <w:style w:type="paragraph" w:styleId="IntenseQuote">
    <w:name w:val="Intense Quote"/>
    <w:basedOn w:val="Normal"/>
    <w:next w:val="Normal"/>
    <w:link w:val="IntenseQuoteChar"/>
    <w:uiPriority w:val="30"/>
    <w:qFormat/>
    <w:rsid w:val="00BA69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A6965"/>
    <w:rPr>
      <w:i/>
      <w:iCs/>
      <w:color w:val="2F5496" w:themeColor="accent1" w:themeShade="BF"/>
    </w:rPr>
  </w:style>
  <w:style w:type="character" w:styleId="IntenseReference">
    <w:name w:val="Intense Reference"/>
    <w:basedOn w:val="DefaultParagraphFont"/>
    <w:uiPriority w:val="32"/>
    <w:qFormat/>
    <w:rsid w:val="00BA696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771</Words>
  <Characters>4401</Characters>
  <Application>Microsoft Office Word</Application>
  <DocSecurity>0</DocSecurity>
  <Lines>36</Lines>
  <Paragraphs>10</Paragraphs>
  <ScaleCrop>false</ScaleCrop>
  <Company/>
  <LinksUpToDate>false</LinksUpToDate>
  <CharactersWithSpaces>5162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nitin sharma</dc:creator>
  <cp:keywords/>
  <dc:description/>
  <cp:lastModifiedBy>nitin sharma</cp:lastModifiedBy>
  <cp:revision>1</cp:revision>
  <dcterms:created xsi:type="dcterms:W3CDTF">2026-07-20T11:55:00Z</dcterms:created>
  <dcterms:modified xsi:type="dcterms:W3CDTF">2026-07-20T11:56:00Z</dcterms:modified>
</cp:coreProperties>
</file>